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13B" w:rsidRPr="006B12B1" w:rsidRDefault="0061413B" w:rsidP="0061413B">
      <w:pPr>
        <w:jc w:val="center"/>
        <w:rPr>
          <w:rFonts w:ascii="Rockwell Extra Bold" w:hAnsi="Rockwell Extra Bold"/>
          <w:b/>
          <w:sz w:val="32"/>
          <w:szCs w:val="32"/>
        </w:rPr>
      </w:pPr>
      <w:r w:rsidRPr="006B12B1">
        <w:rPr>
          <w:rFonts w:ascii="Rockwell Extra Bold" w:hAnsi="Rockwell Extra Bold"/>
          <w:b/>
          <w:sz w:val="32"/>
          <w:szCs w:val="32"/>
        </w:rPr>
        <w:t>Spring 2010</w:t>
      </w:r>
    </w:p>
    <w:p w:rsidR="0086085A" w:rsidRPr="006B12B1" w:rsidRDefault="0061413B" w:rsidP="0061413B">
      <w:pPr>
        <w:jc w:val="center"/>
        <w:rPr>
          <w:rFonts w:ascii="Rockwell Extra Bold" w:hAnsi="Rockwell Extra Bold"/>
          <w:b/>
          <w:sz w:val="32"/>
          <w:szCs w:val="32"/>
        </w:rPr>
      </w:pPr>
      <w:r w:rsidRPr="006B12B1">
        <w:rPr>
          <w:rFonts w:ascii="Rockwell Extra Bold" w:hAnsi="Rockwell Extra Bold"/>
          <w:b/>
          <w:sz w:val="32"/>
          <w:szCs w:val="32"/>
        </w:rPr>
        <w:t>STA 4322 – Intro. Statistics Theory (Sec. 7474)</w:t>
      </w:r>
    </w:p>
    <w:p w:rsidR="0061413B" w:rsidRPr="006B12B1" w:rsidRDefault="0061413B" w:rsidP="0061413B">
      <w:pPr>
        <w:jc w:val="center"/>
        <w:rPr>
          <w:rFonts w:ascii="Rockwell Extra Bold" w:hAnsi="Rockwell Extra Bold"/>
          <w:b/>
          <w:sz w:val="32"/>
          <w:szCs w:val="32"/>
        </w:rPr>
      </w:pPr>
      <w:r w:rsidRPr="006B12B1">
        <w:rPr>
          <w:rFonts w:ascii="Rockwell Extra Bold" w:hAnsi="Rockwell Extra Bold"/>
          <w:b/>
          <w:sz w:val="32"/>
          <w:szCs w:val="32"/>
        </w:rPr>
        <w:t>STA 5328 – Fnd. Statistical Theory (Sec. 7482)</w:t>
      </w:r>
    </w:p>
    <w:p w:rsidR="0061413B" w:rsidRDefault="0061413B" w:rsidP="0061413B">
      <w:pPr>
        <w:jc w:val="center"/>
        <w:rPr>
          <w:rFonts w:ascii="Rockwell Extra Bold" w:hAnsi="Rockwell Extra Bold"/>
          <w:sz w:val="32"/>
          <w:szCs w:val="32"/>
        </w:rPr>
      </w:pPr>
      <w:r w:rsidRPr="006B12B1">
        <w:rPr>
          <w:rFonts w:ascii="Rockwell Extra Bold" w:hAnsi="Rockwell Extra Bold"/>
          <w:b/>
          <w:sz w:val="32"/>
          <w:szCs w:val="32"/>
        </w:rPr>
        <w:t>Tuesday 4, Thursday 4/5 @ Griffin/Floyd 100</w:t>
      </w:r>
    </w:p>
    <w:p w:rsidR="0061413B" w:rsidRDefault="0061413B" w:rsidP="0061413B">
      <w:pPr>
        <w:jc w:val="center"/>
        <w:rPr>
          <w:rFonts w:ascii="Rockwell Extra Bold" w:hAnsi="Rockwell Extra Bold"/>
          <w:sz w:val="32"/>
          <w:szCs w:val="32"/>
        </w:rPr>
      </w:pPr>
    </w:p>
    <w:p w:rsidR="0061413B" w:rsidRDefault="006B12B1" w:rsidP="0061413B">
      <w:pPr>
        <w:rPr>
          <w:sz w:val="28"/>
          <w:szCs w:val="28"/>
        </w:rPr>
      </w:pPr>
      <w:r w:rsidRPr="006B12B1">
        <w:rPr>
          <w:rFonts w:ascii="Rockwell Extra Bold" w:hAnsi="Rockwell Extra Bold"/>
          <w:b/>
          <w:sz w:val="28"/>
          <w:szCs w:val="28"/>
        </w:rPr>
        <w:t>Instructor:</w:t>
      </w:r>
      <w:r>
        <w:rPr>
          <w:rFonts w:ascii="Rockwell Extra Bold" w:hAnsi="Rockwell Extra Bold"/>
          <w:sz w:val="28"/>
          <w:szCs w:val="28"/>
        </w:rPr>
        <w:t xml:space="preserve"> </w:t>
      </w:r>
      <w:r>
        <w:rPr>
          <w:sz w:val="28"/>
          <w:szCs w:val="28"/>
        </w:rPr>
        <w:t xml:space="preserve"> Dr. Larry Winner</w:t>
      </w:r>
    </w:p>
    <w:p w:rsidR="006B12B1" w:rsidRDefault="006B12B1" w:rsidP="0061413B">
      <w:pPr>
        <w:rPr>
          <w:sz w:val="28"/>
          <w:szCs w:val="28"/>
        </w:rPr>
      </w:pPr>
    </w:p>
    <w:p w:rsidR="006B12B1" w:rsidRDefault="006B12B1" w:rsidP="0061413B">
      <w:pPr>
        <w:rPr>
          <w:sz w:val="28"/>
          <w:szCs w:val="28"/>
        </w:rPr>
      </w:pPr>
      <w:r>
        <w:rPr>
          <w:rFonts w:ascii="Rockwell Extra Bold" w:hAnsi="Rockwell Extra Bold"/>
          <w:b/>
          <w:sz w:val="28"/>
          <w:szCs w:val="28"/>
        </w:rPr>
        <w:t xml:space="preserve">Office:  </w:t>
      </w:r>
      <w:r w:rsidRPr="006B12B1">
        <w:rPr>
          <w:sz w:val="28"/>
          <w:szCs w:val="28"/>
        </w:rPr>
        <w:t>228</w:t>
      </w:r>
      <w:r>
        <w:rPr>
          <w:rFonts w:ascii="Rockwell Extra Bold" w:hAnsi="Rockwell Extra Bold"/>
          <w:b/>
          <w:sz w:val="28"/>
          <w:szCs w:val="28"/>
        </w:rPr>
        <w:t xml:space="preserve"> </w:t>
      </w:r>
      <w:r w:rsidRPr="006B12B1">
        <w:rPr>
          <w:sz w:val="28"/>
          <w:szCs w:val="28"/>
        </w:rPr>
        <w:t>Griffin/Floyd</w:t>
      </w:r>
    </w:p>
    <w:p w:rsidR="006B12B1" w:rsidRDefault="006B12B1" w:rsidP="0061413B">
      <w:pPr>
        <w:rPr>
          <w:sz w:val="28"/>
          <w:szCs w:val="28"/>
        </w:rPr>
      </w:pPr>
    </w:p>
    <w:p w:rsidR="006B12B1" w:rsidRDefault="006B12B1" w:rsidP="0061413B">
      <w:pPr>
        <w:rPr>
          <w:sz w:val="28"/>
          <w:szCs w:val="28"/>
        </w:rPr>
      </w:pPr>
      <w:r w:rsidRPr="006B12B1">
        <w:rPr>
          <w:rFonts w:ascii="Rockwell Extra Bold" w:hAnsi="Rockwell Extra Bold"/>
          <w:b/>
          <w:sz w:val="28"/>
          <w:szCs w:val="28"/>
        </w:rPr>
        <w:t xml:space="preserve">E-mail: </w:t>
      </w:r>
      <w:r>
        <w:rPr>
          <w:sz w:val="28"/>
          <w:szCs w:val="28"/>
        </w:rPr>
        <w:t xml:space="preserve"> </w:t>
      </w:r>
      <w:hyperlink r:id="rId5" w:history="1">
        <w:r w:rsidRPr="008F1A70">
          <w:rPr>
            <w:rStyle w:val="Hyperlink"/>
            <w:sz w:val="28"/>
            <w:szCs w:val="28"/>
          </w:rPr>
          <w:t>winner@stat.ufl.edu</w:t>
        </w:r>
      </w:hyperlink>
      <w:r>
        <w:rPr>
          <w:sz w:val="28"/>
          <w:szCs w:val="28"/>
        </w:rPr>
        <w:t xml:space="preserve">  </w:t>
      </w:r>
    </w:p>
    <w:p w:rsidR="006B12B1" w:rsidRDefault="006B12B1" w:rsidP="0061413B">
      <w:pPr>
        <w:rPr>
          <w:sz w:val="28"/>
          <w:szCs w:val="28"/>
        </w:rPr>
      </w:pPr>
    </w:p>
    <w:p w:rsidR="006B12B1" w:rsidRDefault="006B12B1" w:rsidP="0061413B">
      <w:pPr>
        <w:rPr>
          <w:sz w:val="28"/>
          <w:szCs w:val="28"/>
        </w:rPr>
      </w:pPr>
      <w:r>
        <w:rPr>
          <w:rFonts w:ascii="Rockwell Extra Bold" w:hAnsi="Rockwell Extra Bold"/>
          <w:b/>
          <w:sz w:val="28"/>
          <w:szCs w:val="28"/>
        </w:rPr>
        <w:t xml:space="preserve">Phone:  </w:t>
      </w:r>
      <w:r>
        <w:rPr>
          <w:sz w:val="28"/>
          <w:szCs w:val="28"/>
        </w:rPr>
        <w:t>(352) 273-2995</w:t>
      </w:r>
    </w:p>
    <w:p w:rsidR="006B12B1" w:rsidRDefault="006B12B1" w:rsidP="0061413B">
      <w:pPr>
        <w:rPr>
          <w:sz w:val="28"/>
          <w:szCs w:val="28"/>
        </w:rPr>
      </w:pPr>
    </w:p>
    <w:p w:rsidR="006B12B1" w:rsidRDefault="006B12B1" w:rsidP="0061413B">
      <w:pPr>
        <w:rPr>
          <w:sz w:val="28"/>
          <w:szCs w:val="28"/>
        </w:rPr>
      </w:pPr>
      <w:r>
        <w:rPr>
          <w:rFonts w:ascii="Rockwell Extra Bold" w:hAnsi="Rockwell Extra Bold"/>
          <w:b/>
          <w:sz w:val="28"/>
          <w:szCs w:val="28"/>
        </w:rPr>
        <w:t xml:space="preserve">Web Page:  </w:t>
      </w:r>
      <w:hyperlink r:id="rId6" w:history="1">
        <w:r w:rsidRPr="008F1A70">
          <w:rPr>
            <w:rStyle w:val="Hyperlink"/>
            <w:sz w:val="28"/>
            <w:szCs w:val="28"/>
          </w:rPr>
          <w:t>www.stat.ufl.edu/~winner/</w:t>
        </w:r>
      </w:hyperlink>
    </w:p>
    <w:p w:rsidR="006B12B1" w:rsidRDefault="006B12B1" w:rsidP="0061413B">
      <w:pPr>
        <w:rPr>
          <w:sz w:val="28"/>
          <w:szCs w:val="28"/>
        </w:rPr>
      </w:pPr>
    </w:p>
    <w:p w:rsidR="006B12B1" w:rsidRPr="006B12B1" w:rsidRDefault="006B12B1" w:rsidP="0061413B">
      <w:pPr>
        <w:rPr>
          <w:sz w:val="28"/>
          <w:szCs w:val="28"/>
          <w:u w:val="single"/>
        </w:rPr>
      </w:pPr>
      <w:r>
        <w:rPr>
          <w:rFonts w:ascii="Rockwell Extra Bold" w:hAnsi="Rockwell Extra Bold"/>
          <w:b/>
          <w:sz w:val="28"/>
          <w:szCs w:val="28"/>
        </w:rPr>
        <w:t xml:space="preserve">Textbook Information: </w:t>
      </w:r>
    </w:p>
    <w:tbl>
      <w:tblPr>
        <w:tblW w:w="9900" w:type="dxa"/>
        <w:tblCellSpacing w:w="0" w:type="dxa"/>
        <w:tblCellMar>
          <w:left w:w="0" w:type="dxa"/>
          <w:right w:w="0" w:type="dxa"/>
        </w:tblCellMar>
        <w:tblLook w:val="04A0" w:firstRow="1" w:lastRow="0" w:firstColumn="1" w:lastColumn="0" w:noHBand="0" w:noVBand="1"/>
      </w:tblPr>
      <w:tblGrid>
        <w:gridCol w:w="1062"/>
        <w:gridCol w:w="5832"/>
        <w:gridCol w:w="1212"/>
        <w:gridCol w:w="897"/>
        <w:gridCol w:w="897"/>
      </w:tblGrid>
      <w:tr w:rsidR="006B12B1" w:rsidRPr="006B12B1">
        <w:trPr>
          <w:gridAfter w:val="1"/>
          <w:tblCellSpacing w:w="0" w:type="dxa"/>
        </w:trPr>
        <w:tc>
          <w:tcPr>
            <w:tcW w:w="0" w:type="auto"/>
            <w:gridSpan w:val="4"/>
            <w:shd w:val="clear" w:color="auto" w:fill="FFFFFF"/>
            <w:hideMark/>
          </w:tcPr>
          <w:p w:rsidR="006B12B1" w:rsidRPr="006B12B1" w:rsidRDefault="006B12B1" w:rsidP="006B12B1">
            <w:pPr>
              <w:rPr>
                <w:color w:val="0000A0"/>
              </w:rPr>
            </w:pPr>
            <w:r>
              <w:rPr>
                <w:color w:val="0000A0"/>
                <w:sz w:val="20"/>
                <w:szCs w:val="20"/>
              </w:rPr>
              <w:t xml:space="preserve">     </w:t>
            </w:r>
            <w:r w:rsidRPr="006B12B1">
              <w:rPr>
                <w:color w:val="0000A0"/>
                <w:sz w:val="20"/>
                <w:szCs w:val="20"/>
              </w:rPr>
              <w:t>MATHEMATICAL STATISTICS WITH APPLICATIONS  </w:t>
            </w:r>
          </w:p>
        </w:tc>
      </w:tr>
      <w:tr w:rsidR="006B12B1" w:rsidRPr="006B12B1">
        <w:trPr>
          <w:tblCellSpacing w:w="0" w:type="dxa"/>
        </w:trPr>
        <w:tc>
          <w:tcPr>
            <w:tcW w:w="0" w:type="auto"/>
            <w:shd w:val="clear" w:color="auto" w:fill="FFFFFF"/>
            <w:hideMark/>
          </w:tcPr>
          <w:p w:rsidR="006B12B1" w:rsidRPr="006B12B1" w:rsidRDefault="006B12B1" w:rsidP="006B12B1">
            <w:pPr>
              <w:jc w:val="right"/>
              <w:rPr>
                <w:color w:val="0000A0"/>
              </w:rPr>
            </w:pPr>
            <w:r w:rsidRPr="006B12B1">
              <w:rPr>
                <w:color w:val="0000A0"/>
                <w:sz w:val="20"/>
                <w:szCs w:val="20"/>
              </w:rPr>
              <w:t>Author</w:t>
            </w:r>
            <w:r>
              <w:rPr>
                <w:color w:val="0000A0"/>
                <w:sz w:val="20"/>
                <w:szCs w:val="20"/>
              </w:rPr>
              <w:t>s</w:t>
            </w:r>
            <w:r w:rsidRPr="006B12B1">
              <w:rPr>
                <w:color w:val="0000A0"/>
                <w:sz w:val="20"/>
                <w:szCs w:val="20"/>
              </w:rPr>
              <w:t>:  </w:t>
            </w:r>
          </w:p>
        </w:tc>
        <w:tc>
          <w:tcPr>
            <w:tcW w:w="0" w:type="auto"/>
            <w:shd w:val="clear" w:color="auto" w:fill="FFFFFF"/>
            <w:hideMark/>
          </w:tcPr>
          <w:p w:rsidR="006B12B1" w:rsidRPr="006B12B1" w:rsidRDefault="006B12B1" w:rsidP="006B12B1">
            <w:pPr>
              <w:rPr>
                <w:color w:val="0000A0"/>
              </w:rPr>
            </w:pPr>
            <w:r w:rsidRPr="006B12B1">
              <w:rPr>
                <w:color w:val="0000A0"/>
                <w:sz w:val="20"/>
                <w:szCs w:val="20"/>
              </w:rPr>
              <w:t>WACKERLY, MENDENHALL, AND SCHE</w:t>
            </w:r>
            <w:r>
              <w:rPr>
                <w:color w:val="0000A0"/>
                <w:sz w:val="20"/>
                <w:szCs w:val="20"/>
              </w:rPr>
              <w:t>AFFER</w:t>
            </w:r>
            <w:r w:rsidRPr="006B12B1">
              <w:rPr>
                <w:color w:val="0000A0"/>
                <w:sz w:val="20"/>
                <w:szCs w:val="20"/>
              </w:rPr>
              <w:t> </w:t>
            </w:r>
          </w:p>
        </w:tc>
        <w:tc>
          <w:tcPr>
            <w:tcW w:w="0" w:type="auto"/>
            <w:shd w:val="clear" w:color="auto" w:fill="FFFFFF"/>
            <w:hideMark/>
          </w:tcPr>
          <w:p w:rsidR="006B12B1" w:rsidRPr="006B12B1" w:rsidRDefault="006B12B1" w:rsidP="006B12B1">
            <w:pPr>
              <w:jc w:val="right"/>
              <w:rPr>
                <w:color w:val="0000A0"/>
              </w:rPr>
            </w:pPr>
            <w:r w:rsidRPr="006B12B1">
              <w:rPr>
                <w:color w:val="0000A0"/>
                <w:sz w:val="20"/>
                <w:szCs w:val="20"/>
              </w:rPr>
              <w:t>Publisher:  </w:t>
            </w:r>
          </w:p>
        </w:tc>
        <w:tc>
          <w:tcPr>
            <w:tcW w:w="0" w:type="auto"/>
            <w:gridSpan w:val="2"/>
            <w:shd w:val="clear" w:color="auto" w:fill="FFFFFF"/>
            <w:hideMark/>
          </w:tcPr>
          <w:p w:rsidR="006B12B1" w:rsidRPr="006B12B1" w:rsidRDefault="006B12B1" w:rsidP="006B12B1">
            <w:pPr>
              <w:rPr>
                <w:color w:val="0000A0"/>
              </w:rPr>
            </w:pPr>
            <w:r w:rsidRPr="006B12B1">
              <w:rPr>
                <w:color w:val="0000A0"/>
                <w:sz w:val="20"/>
                <w:szCs w:val="20"/>
              </w:rPr>
              <w:t>DUXBURY </w:t>
            </w:r>
          </w:p>
        </w:tc>
      </w:tr>
      <w:tr w:rsidR="006B12B1" w:rsidRPr="006B12B1">
        <w:trPr>
          <w:tblCellSpacing w:w="0" w:type="dxa"/>
        </w:trPr>
        <w:tc>
          <w:tcPr>
            <w:tcW w:w="0" w:type="auto"/>
            <w:shd w:val="clear" w:color="auto" w:fill="FFFFFF"/>
            <w:hideMark/>
          </w:tcPr>
          <w:p w:rsidR="006B12B1" w:rsidRPr="006B12B1" w:rsidRDefault="006B12B1" w:rsidP="006B12B1">
            <w:pPr>
              <w:jc w:val="right"/>
              <w:rPr>
                <w:color w:val="0000A0"/>
              </w:rPr>
            </w:pPr>
            <w:r w:rsidRPr="006B12B1">
              <w:rPr>
                <w:color w:val="0000A0"/>
                <w:sz w:val="20"/>
                <w:szCs w:val="20"/>
              </w:rPr>
              <w:t>Edition:  </w:t>
            </w:r>
          </w:p>
        </w:tc>
        <w:tc>
          <w:tcPr>
            <w:tcW w:w="0" w:type="auto"/>
            <w:shd w:val="clear" w:color="auto" w:fill="FFFFFF"/>
            <w:hideMark/>
          </w:tcPr>
          <w:p w:rsidR="006B12B1" w:rsidRPr="006B12B1" w:rsidRDefault="006B12B1" w:rsidP="006B12B1">
            <w:pPr>
              <w:rPr>
                <w:color w:val="0000A0"/>
              </w:rPr>
            </w:pPr>
            <w:r w:rsidRPr="006B12B1">
              <w:rPr>
                <w:color w:val="0000A0"/>
                <w:sz w:val="20"/>
                <w:szCs w:val="20"/>
              </w:rPr>
              <w:t>7TH </w:t>
            </w:r>
          </w:p>
        </w:tc>
        <w:tc>
          <w:tcPr>
            <w:tcW w:w="0" w:type="auto"/>
            <w:shd w:val="clear" w:color="auto" w:fill="FFFFFF"/>
            <w:hideMark/>
          </w:tcPr>
          <w:p w:rsidR="006B12B1" w:rsidRPr="006B12B1" w:rsidRDefault="006B12B1" w:rsidP="006B12B1">
            <w:pPr>
              <w:jc w:val="right"/>
              <w:rPr>
                <w:color w:val="0000A0"/>
              </w:rPr>
            </w:pPr>
            <w:r w:rsidRPr="006B12B1">
              <w:rPr>
                <w:color w:val="0000A0"/>
                <w:sz w:val="20"/>
                <w:szCs w:val="20"/>
              </w:rPr>
              <w:t>ISBN:  </w:t>
            </w:r>
          </w:p>
        </w:tc>
        <w:tc>
          <w:tcPr>
            <w:tcW w:w="0" w:type="auto"/>
            <w:gridSpan w:val="2"/>
            <w:shd w:val="clear" w:color="auto" w:fill="FFFFFF"/>
            <w:hideMark/>
          </w:tcPr>
          <w:p w:rsidR="006B12B1" w:rsidRPr="006B12B1" w:rsidRDefault="006B12B1" w:rsidP="006B12B1">
            <w:pPr>
              <w:rPr>
                <w:color w:val="0000A0"/>
              </w:rPr>
            </w:pPr>
            <w:r w:rsidRPr="006B12B1">
              <w:rPr>
                <w:color w:val="0000A0"/>
                <w:sz w:val="20"/>
                <w:szCs w:val="20"/>
              </w:rPr>
              <w:t>9780495110811 </w:t>
            </w:r>
          </w:p>
        </w:tc>
      </w:tr>
    </w:tbl>
    <w:p w:rsidR="006B12B1" w:rsidRPr="006B12B1" w:rsidRDefault="006B12B1" w:rsidP="0061413B">
      <w:pPr>
        <w:rPr>
          <w:sz w:val="28"/>
          <w:szCs w:val="28"/>
          <w:u w:val="single"/>
        </w:rPr>
      </w:pPr>
    </w:p>
    <w:p w:rsidR="006B12B1" w:rsidRDefault="006B12B1" w:rsidP="0061413B">
      <w:pPr>
        <w:rPr>
          <w:sz w:val="28"/>
          <w:szCs w:val="28"/>
        </w:rPr>
      </w:pPr>
    </w:p>
    <w:p w:rsidR="006B12B1" w:rsidRDefault="006B12B1" w:rsidP="0061413B">
      <w:pPr>
        <w:rPr>
          <w:sz w:val="28"/>
          <w:szCs w:val="28"/>
        </w:rPr>
      </w:pPr>
    </w:p>
    <w:p w:rsidR="006B12B1" w:rsidRPr="006B12B1" w:rsidRDefault="006B12B1" w:rsidP="0061413B">
      <w:pPr>
        <w:rPr>
          <w:rFonts w:ascii="Rockwell Extra Bold" w:hAnsi="Rockwell Extra Bold"/>
          <w:b/>
          <w:sz w:val="28"/>
          <w:szCs w:val="28"/>
          <w:u w:val="single"/>
        </w:rPr>
      </w:pPr>
      <w:r w:rsidRPr="006B12B1">
        <w:rPr>
          <w:rFonts w:ascii="Rockwell Extra Bold" w:hAnsi="Rockwell Extra Bold"/>
          <w:b/>
          <w:sz w:val="28"/>
          <w:szCs w:val="28"/>
          <w:u w:val="single"/>
        </w:rPr>
        <w:t>Course Description:</w:t>
      </w:r>
    </w:p>
    <w:p w:rsidR="006B12B1" w:rsidRDefault="006B12B1" w:rsidP="0061413B"/>
    <w:p w:rsidR="006B12B1" w:rsidRDefault="006B12B1" w:rsidP="0061413B">
      <w:r>
        <w:t xml:space="preserve">This course is a second semester course in Mathematical Statistics that extends the fundamentals of probability to cover topics in statistical inference. </w:t>
      </w:r>
      <w:r w:rsidR="00FE0E5F">
        <w:t xml:space="preserve">Tentative List of </w:t>
      </w:r>
      <w:r>
        <w:t>Topics include:</w:t>
      </w:r>
    </w:p>
    <w:p w:rsidR="006B12B1" w:rsidRDefault="006B12B1" w:rsidP="0061413B"/>
    <w:p w:rsidR="006B12B1" w:rsidRPr="00D83D6C" w:rsidRDefault="00D83D6C" w:rsidP="006B12B1">
      <w:pPr>
        <w:pStyle w:val="ListParagraph"/>
        <w:numPr>
          <w:ilvl w:val="0"/>
          <w:numId w:val="1"/>
        </w:numPr>
        <w:rPr>
          <w:sz w:val="28"/>
          <w:szCs w:val="28"/>
        </w:rPr>
      </w:pPr>
      <w:r w:rsidRPr="00D83D6C">
        <w:rPr>
          <w:sz w:val="28"/>
          <w:szCs w:val="28"/>
        </w:rPr>
        <w:t>Sampling Distributions and the Central Limit Theorem (Chapter 7)</w:t>
      </w:r>
    </w:p>
    <w:p w:rsidR="00D83D6C" w:rsidRDefault="00D83D6C" w:rsidP="00D83D6C">
      <w:pPr>
        <w:pStyle w:val="ListParagraph"/>
        <w:numPr>
          <w:ilvl w:val="1"/>
          <w:numId w:val="1"/>
        </w:numPr>
      </w:pPr>
      <w:r>
        <w:t>Sampling Distributions Related to the Normal  (7.2)</w:t>
      </w:r>
    </w:p>
    <w:p w:rsidR="00D83D6C" w:rsidRDefault="00D83D6C" w:rsidP="00D83D6C">
      <w:pPr>
        <w:pStyle w:val="ListParagraph"/>
        <w:numPr>
          <w:ilvl w:val="1"/>
          <w:numId w:val="1"/>
        </w:numPr>
      </w:pPr>
      <w:r>
        <w:t>Central Limit Theorem and Proof (7.3-7.4)</w:t>
      </w:r>
    </w:p>
    <w:p w:rsidR="00D83D6C" w:rsidRDefault="00D83D6C" w:rsidP="00D83D6C">
      <w:pPr>
        <w:pStyle w:val="ListParagraph"/>
        <w:numPr>
          <w:ilvl w:val="1"/>
          <w:numId w:val="1"/>
        </w:numPr>
      </w:pPr>
      <w:r>
        <w:t>Normal Approximation to the Binomial (7.5)</w:t>
      </w:r>
    </w:p>
    <w:p w:rsidR="00D83D6C" w:rsidRDefault="00D83D6C" w:rsidP="006B12B1">
      <w:pPr>
        <w:pStyle w:val="ListParagraph"/>
        <w:numPr>
          <w:ilvl w:val="0"/>
          <w:numId w:val="1"/>
        </w:numPr>
        <w:rPr>
          <w:sz w:val="28"/>
          <w:szCs w:val="28"/>
        </w:rPr>
      </w:pPr>
      <w:r w:rsidRPr="00D83D6C">
        <w:rPr>
          <w:sz w:val="28"/>
          <w:szCs w:val="28"/>
        </w:rPr>
        <w:t>Estimation (Chapter 8)</w:t>
      </w:r>
    </w:p>
    <w:p w:rsidR="00D83D6C" w:rsidRPr="00D83D6C" w:rsidRDefault="00D83D6C" w:rsidP="00D83D6C">
      <w:pPr>
        <w:pStyle w:val="ListParagraph"/>
        <w:numPr>
          <w:ilvl w:val="1"/>
          <w:numId w:val="1"/>
        </w:numPr>
        <w:rPr>
          <w:sz w:val="28"/>
          <w:szCs w:val="28"/>
        </w:rPr>
      </w:pPr>
      <w:r>
        <w:t>Point Estimators – Bias and Mean Square Error (8.2)</w:t>
      </w:r>
    </w:p>
    <w:p w:rsidR="00D83D6C" w:rsidRPr="00D83D6C" w:rsidRDefault="00D83D6C" w:rsidP="00D83D6C">
      <w:pPr>
        <w:pStyle w:val="ListParagraph"/>
        <w:numPr>
          <w:ilvl w:val="1"/>
          <w:numId w:val="1"/>
        </w:numPr>
        <w:rPr>
          <w:sz w:val="28"/>
          <w:szCs w:val="28"/>
        </w:rPr>
      </w:pPr>
      <w:r>
        <w:t>Common Unbiased Estimators (8.3)</w:t>
      </w:r>
    </w:p>
    <w:p w:rsidR="00D83D6C" w:rsidRPr="00D83D6C" w:rsidRDefault="00D83D6C" w:rsidP="00D83D6C">
      <w:pPr>
        <w:pStyle w:val="ListParagraph"/>
        <w:numPr>
          <w:ilvl w:val="1"/>
          <w:numId w:val="1"/>
        </w:numPr>
        <w:rPr>
          <w:sz w:val="28"/>
          <w:szCs w:val="28"/>
        </w:rPr>
      </w:pPr>
      <w:r>
        <w:t>Evaluating Quality of Estimators (8.4)</w:t>
      </w:r>
    </w:p>
    <w:p w:rsidR="00D83D6C" w:rsidRPr="00D83D6C" w:rsidRDefault="00D83D6C" w:rsidP="00D83D6C">
      <w:pPr>
        <w:pStyle w:val="ListParagraph"/>
        <w:numPr>
          <w:ilvl w:val="1"/>
          <w:numId w:val="1"/>
        </w:numPr>
        <w:rPr>
          <w:sz w:val="28"/>
          <w:szCs w:val="28"/>
        </w:rPr>
      </w:pPr>
      <w:r>
        <w:t>Confidence Intervals (8.5)</w:t>
      </w:r>
    </w:p>
    <w:p w:rsidR="00D83D6C" w:rsidRPr="00D83D6C" w:rsidRDefault="00D83D6C" w:rsidP="00D83D6C">
      <w:pPr>
        <w:pStyle w:val="ListParagraph"/>
        <w:numPr>
          <w:ilvl w:val="1"/>
          <w:numId w:val="1"/>
        </w:numPr>
        <w:rPr>
          <w:sz w:val="28"/>
          <w:szCs w:val="28"/>
        </w:rPr>
      </w:pPr>
      <w:r>
        <w:t>Large-Sample CI’s (8.6)</w:t>
      </w:r>
    </w:p>
    <w:p w:rsidR="00D83D6C" w:rsidRPr="00D83D6C" w:rsidRDefault="00D83D6C" w:rsidP="00D83D6C">
      <w:pPr>
        <w:pStyle w:val="ListParagraph"/>
        <w:numPr>
          <w:ilvl w:val="1"/>
          <w:numId w:val="1"/>
        </w:numPr>
        <w:rPr>
          <w:sz w:val="28"/>
          <w:szCs w:val="28"/>
        </w:rPr>
      </w:pPr>
      <w:r>
        <w:t>Sample Size Determination (8.7)</w:t>
      </w:r>
    </w:p>
    <w:p w:rsidR="00D83D6C" w:rsidRPr="00D83D6C" w:rsidRDefault="00D83D6C" w:rsidP="00D83D6C">
      <w:pPr>
        <w:pStyle w:val="ListParagraph"/>
        <w:numPr>
          <w:ilvl w:val="1"/>
          <w:numId w:val="1"/>
        </w:numPr>
        <w:rPr>
          <w:sz w:val="28"/>
          <w:szCs w:val="28"/>
        </w:rPr>
      </w:pPr>
      <w:r>
        <w:t xml:space="preserve">Small-Sample CI’s for </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vertAlign w:val="subscript"/>
        </w:rPr>
        <w:t></w:t>
      </w:r>
      <w:r>
        <w:rPr>
          <w:rFonts w:ascii="Symbol" w:hAnsi="Symbol"/>
        </w:rPr>
        <w:t></w:t>
      </w:r>
      <w:r>
        <w:t>(8.8)</w:t>
      </w:r>
    </w:p>
    <w:p w:rsidR="00D83D6C" w:rsidRPr="00D83D6C" w:rsidRDefault="00D83D6C" w:rsidP="00D83D6C">
      <w:pPr>
        <w:pStyle w:val="ListParagraph"/>
        <w:numPr>
          <w:ilvl w:val="1"/>
          <w:numId w:val="1"/>
        </w:numPr>
        <w:rPr>
          <w:sz w:val="28"/>
          <w:szCs w:val="28"/>
        </w:rPr>
      </w:pPr>
      <w:r>
        <w:t xml:space="preserve">CI’s for </w:t>
      </w:r>
      <w:r>
        <w:rPr>
          <w:rFonts w:ascii="Symbol" w:hAnsi="Symbol"/>
        </w:rPr>
        <w:t></w:t>
      </w:r>
      <w:r>
        <w:rPr>
          <w:rFonts w:ascii="Symbol" w:hAnsi="Symbol"/>
          <w:vertAlign w:val="superscript"/>
        </w:rPr>
        <w:t></w:t>
      </w:r>
      <w:r>
        <w:rPr>
          <w:rFonts w:ascii="Symbol" w:hAnsi="Symbol"/>
        </w:rPr>
        <w:t></w:t>
      </w:r>
      <w:r>
        <w:t>(8.9)</w:t>
      </w:r>
    </w:p>
    <w:p w:rsidR="00D83D6C" w:rsidRDefault="00D83D6C" w:rsidP="00D83D6C">
      <w:pPr>
        <w:pStyle w:val="ListParagraph"/>
        <w:numPr>
          <w:ilvl w:val="0"/>
          <w:numId w:val="1"/>
        </w:numPr>
        <w:rPr>
          <w:sz w:val="28"/>
          <w:szCs w:val="28"/>
        </w:rPr>
      </w:pPr>
      <w:r>
        <w:rPr>
          <w:sz w:val="28"/>
          <w:szCs w:val="28"/>
        </w:rPr>
        <w:t xml:space="preserve">Properties of </w:t>
      </w:r>
      <w:r w:rsidR="00FE0E5F">
        <w:rPr>
          <w:sz w:val="28"/>
          <w:szCs w:val="28"/>
        </w:rPr>
        <w:t xml:space="preserve"> </w:t>
      </w:r>
      <w:r>
        <w:rPr>
          <w:sz w:val="28"/>
          <w:szCs w:val="28"/>
        </w:rPr>
        <w:t>Estimators and Estimation Methods</w:t>
      </w:r>
      <w:r w:rsidR="00FE0E5F">
        <w:rPr>
          <w:sz w:val="28"/>
          <w:szCs w:val="28"/>
        </w:rPr>
        <w:t xml:space="preserve"> (Chapter 9)</w:t>
      </w:r>
    </w:p>
    <w:p w:rsidR="00FE0E5F" w:rsidRPr="00FE0E5F" w:rsidRDefault="00FE0E5F" w:rsidP="00FE0E5F">
      <w:pPr>
        <w:pStyle w:val="ListParagraph"/>
        <w:numPr>
          <w:ilvl w:val="1"/>
          <w:numId w:val="1"/>
        </w:numPr>
        <w:rPr>
          <w:sz w:val="28"/>
          <w:szCs w:val="28"/>
        </w:rPr>
      </w:pPr>
      <w:r>
        <w:t>Relative Efficiency (9.2)</w:t>
      </w:r>
    </w:p>
    <w:p w:rsidR="00FE0E5F" w:rsidRPr="00FE0E5F" w:rsidRDefault="00FE0E5F" w:rsidP="00FE0E5F">
      <w:pPr>
        <w:pStyle w:val="ListParagraph"/>
        <w:numPr>
          <w:ilvl w:val="1"/>
          <w:numId w:val="1"/>
        </w:numPr>
        <w:rPr>
          <w:sz w:val="28"/>
          <w:szCs w:val="28"/>
        </w:rPr>
      </w:pPr>
      <w:r>
        <w:t>Consistency (9.3)</w:t>
      </w:r>
    </w:p>
    <w:p w:rsidR="00FE0E5F" w:rsidRPr="00FE0E5F" w:rsidRDefault="00FE0E5F" w:rsidP="00FE0E5F">
      <w:pPr>
        <w:pStyle w:val="ListParagraph"/>
        <w:numPr>
          <w:ilvl w:val="1"/>
          <w:numId w:val="1"/>
        </w:numPr>
        <w:rPr>
          <w:sz w:val="28"/>
          <w:szCs w:val="28"/>
        </w:rPr>
      </w:pPr>
      <w:r>
        <w:t>Sufficiency (9.4)</w:t>
      </w:r>
    </w:p>
    <w:p w:rsidR="00FE0E5F" w:rsidRPr="00FE0E5F" w:rsidRDefault="00FE0E5F" w:rsidP="00FE0E5F">
      <w:pPr>
        <w:pStyle w:val="ListParagraph"/>
        <w:numPr>
          <w:ilvl w:val="1"/>
          <w:numId w:val="1"/>
        </w:numPr>
        <w:rPr>
          <w:sz w:val="28"/>
          <w:szCs w:val="28"/>
        </w:rPr>
      </w:pPr>
      <w:r>
        <w:t>Rao-Blackwell Theorem / MVUE  (9.5)</w:t>
      </w:r>
    </w:p>
    <w:p w:rsidR="00FE0E5F" w:rsidRPr="00FE0E5F" w:rsidRDefault="00FE0E5F" w:rsidP="00FE0E5F">
      <w:pPr>
        <w:pStyle w:val="ListParagraph"/>
        <w:numPr>
          <w:ilvl w:val="1"/>
          <w:numId w:val="1"/>
        </w:numPr>
        <w:rPr>
          <w:sz w:val="28"/>
          <w:szCs w:val="28"/>
        </w:rPr>
      </w:pPr>
      <w:r>
        <w:t>Method of Moments (9.6)</w:t>
      </w:r>
    </w:p>
    <w:p w:rsidR="00FE0E5F" w:rsidRPr="00FE0E5F" w:rsidRDefault="00FE0E5F" w:rsidP="00FE0E5F">
      <w:pPr>
        <w:pStyle w:val="ListParagraph"/>
        <w:numPr>
          <w:ilvl w:val="1"/>
          <w:numId w:val="1"/>
        </w:numPr>
        <w:rPr>
          <w:sz w:val="28"/>
          <w:szCs w:val="28"/>
        </w:rPr>
      </w:pPr>
      <w:r>
        <w:t>Method of Maximum Likelihood (9.7)</w:t>
      </w:r>
    </w:p>
    <w:p w:rsidR="00FE0E5F" w:rsidRPr="00FE0E5F" w:rsidRDefault="00FE0E5F" w:rsidP="00FE0E5F">
      <w:pPr>
        <w:pStyle w:val="ListParagraph"/>
        <w:numPr>
          <w:ilvl w:val="1"/>
          <w:numId w:val="1"/>
        </w:numPr>
        <w:rPr>
          <w:sz w:val="28"/>
          <w:szCs w:val="28"/>
        </w:rPr>
      </w:pPr>
      <w:r>
        <w:lastRenderedPageBreak/>
        <w:t>Large-Sample Properties of MLE’s (9.8)</w:t>
      </w:r>
    </w:p>
    <w:p w:rsidR="00FE0E5F" w:rsidRDefault="00FE0E5F" w:rsidP="00FE0E5F">
      <w:pPr>
        <w:pStyle w:val="ListParagraph"/>
        <w:numPr>
          <w:ilvl w:val="0"/>
          <w:numId w:val="1"/>
        </w:numPr>
        <w:rPr>
          <w:sz w:val="28"/>
          <w:szCs w:val="28"/>
        </w:rPr>
      </w:pPr>
      <w:r>
        <w:rPr>
          <w:sz w:val="28"/>
          <w:szCs w:val="28"/>
        </w:rPr>
        <w:t>Hypothesis Testing (Chapter 10)</w:t>
      </w:r>
    </w:p>
    <w:p w:rsidR="00FE0E5F" w:rsidRPr="00FE0E5F" w:rsidRDefault="00FE0E5F" w:rsidP="00FE0E5F">
      <w:pPr>
        <w:pStyle w:val="ListParagraph"/>
        <w:numPr>
          <w:ilvl w:val="1"/>
          <w:numId w:val="1"/>
        </w:numPr>
        <w:rPr>
          <w:sz w:val="28"/>
          <w:szCs w:val="28"/>
        </w:rPr>
      </w:pPr>
      <w:r>
        <w:t>Elements of a Statistical Test (10.2)</w:t>
      </w:r>
    </w:p>
    <w:p w:rsidR="00FE0E5F" w:rsidRPr="00FE0E5F" w:rsidRDefault="00FE0E5F" w:rsidP="00FE0E5F">
      <w:pPr>
        <w:pStyle w:val="ListParagraph"/>
        <w:numPr>
          <w:ilvl w:val="1"/>
          <w:numId w:val="1"/>
        </w:numPr>
        <w:rPr>
          <w:sz w:val="28"/>
          <w:szCs w:val="28"/>
        </w:rPr>
      </w:pPr>
      <w:r>
        <w:t>Common Large-sample Tests (10.3)</w:t>
      </w:r>
    </w:p>
    <w:p w:rsidR="00FE0E5F" w:rsidRPr="00FE0E5F" w:rsidRDefault="00FE0E5F" w:rsidP="00FE0E5F">
      <w:pPr>
        <w:pStyle w:val="ListParagraph"/>
        <w:numPr>
          <w:ilvl w:val="1"/>
          <w:numId w:val="1"/>
        </w:numPr>
        <w:rPr>
          <w:sz w:val="28"/>
          <w:szCs w:val="28"/>
        </w:rPr>
      </w:pPr>
      <w:r>
        <w:t>Type II Error Rates and Sample Size Determination (10.4)</w:t>
      </w:r>
    </w:p>
    <w:p w:rsidR="00FE0E5F" w:rsidRPr="00FE0E5F" w:rsidRDefault="00FE0E5F" w:rsidP="00FE0E5F">
      <w:pPr>
        <w:pStyle w:val="ListParagraph"/>
        <w:numPr>
          <w:ilvl w:val="1"/>
          <w:numId w:val="1"/>
        </w:numPr>
        <w:rPr>
          <w:sz w:val="28"/>
          <w:szCs w:val="28"/>
        </w:rPr>
      </w:pPr>
      <w:r>
        <w:t>Connection Between Tests and CIs (10.5)</w:t>
      </w:r>
    </w:p>
    <w:p w:rsidR="00FE0E5F" w:rsidRPr="00FE0E5F" w:rsidRDefault="00FE0E5F" w:rsidP="00FE0E5F">
      <w:pPr>
        <w:pStyle w:val="ListParagraph"/>
        <w:numPr>
          <w:ilvl w:val="1"/>
          <w:numId w:val="1"/>
        </w:numPr>
        <w:rPr>
          <w:sz w:val="28"/>
          <w:szCs w:val="28"/>
        </w:rPr>
      </w:pPr>
      <w:r w:rsidRPr="00FE0E5F">
        <w:rPr>
          <w:i/>
        </w:rPr>
        <w:t>P</w:t>
      </w:r>
      <w:r>
        <w:t>-values (10.6)</w:t>
      </w:r>
    </w:p>
    <w:p w:rsidR="00FE0E5F" w:rsidRPr="00FE0E5F" w:rsidRDefault="00FE0E5F" w:rsidP="00FE0E5F">
      <w:pPr>
        <w:pStyle w:val="ListParagraph"/>
        <w:numPr>
          <w:ilvl w:val="1"/>
          <w:numId w:val="1"/>
        </w:numPr>
        <w:rPr>
          <w:sz w:val="28"/>
          <w:szCs w:val="28"/>
        </w:rPr>
      </w:pPr>
      <w:r w:rsidRPr="00FE0E5F">
        <w:t>Comments on Theory of Tests</w:t>
      </w:r>
      <w:r>
        <w:t xml:space="preserve"> (10.7)</w:t>
      </w:r>
    </w:p>
    <w:p w:rsidR="00FE0E5F" w:rsidRPr="00FE0E5F" w:rsidRDefault="00FE0E5F" w:rsidP="00FE0E5F">
      <w:pPr>
        <w:pStyle w:val="ListParagraph"/>
        <w:numPr>
          <w:ilvl w:val="1"/>
          <w:numId w:val="1"/>
        </w:numPr>
        <w:rPr>
          <w:sz w:val="28"/>
          <w:szCs w:val="28"/>
        </w:rPr>
      </w:pPr>
      <w:r w:rsidRPr="00FE0E5F">
        <w:t xml:space="preserve"> </w:t>
      </w:r>
      <w:r>
        <w:t xml:space="preserve">Small-Sample Tests for </w:t>
      </w:r>
      <w:r>
        <w:rPr>
          <w:rFonts w:ascii="Symbol" w:hAnsi="Symbol"/>
        </w:rPr>
        <w:t></w:t>
      </w:r>
      <w:r>
        <w:rPr>
          <w:rFonts w:ascii="Symbol" w:hAnsi="Symbol"/>
        </w:rPr>
        <w:t></w:t>
      </w:r>
      <w:r>
        <w:rPr>
          <w:rFonts w:ascii="Symbol" w:hAnsi="Symbol"/>
        </w:rPr>
        <w:t></w:t>
      </w:r>
      <w:r>
        <w:rPr>
          <w:rFonts w:ascii="Symbol" w:hAnsi="Symbol"/>
        </w:rPr>
        <w:t></w:t>
      </w:r>
      <w:r>
        <w:rPr>
          <w:rFonts w:ascii="Symbol" w:hAnsi="Symbol"/>
          <w:vertAlign w:val="subscript"/>
        </w:rPr>
        <w:t></w:t>
      </w:r>
      <w:r>
        <w:rPr>
          <w:rFonts w:ascii="Symbol" w:hAnsi="Symbol"/>
        </w:rPr>
        <w:t></w:t>
      </w:r>
      <w:r>
        <w:rPr>
          <w:rFonts w:ascii="Symbol" w:hAnsi="Symbol"/>
        </w:rPr>
        <w:t></w:t>
      </w:r>
      <w:r>
        <w:rPr>
          <w:rFonts w:ascii="Symbol" w:hAnsi="Symbol"/>
          <w:vertAlign w:val="subscript"/>
        </w:rPr>
        <w:t></w:t>
      </w:r>
      <w:r>
        <w:rPr>
          <w:rFonts w:ascii="Symbol" w:hAnsi="Symbol"/>
        </w:rPr>
        <w:t></w:t>
      </w:r>
      <w:r>
        <w:t>(10.8)</w:t>
      </w:r>
    </w:p>
    <w:p w:rsidR="00FE0E5F" w:rsidRPr="00FE0E5F" w:rsidRDefault="00FE0E5F" w:rsidP="00FE0E5F">
      <w:pPr>
        <w:pStyle w:val="ListParagraph"/>
        <w:numPr>
          <w:ilvl w:val="1"/>
          <w:numId w:val="1"/>
        </w:numPr>
        <w:rPr>
          <w:sz w:val="28"/>
          <w:szCs w:val="28"/>
        </w:rPr>
      </w:pPr>
      <w:r>
        <w:t>Tests of Variances (10.9)</w:t>
      </w:r>
    </w:p>
    <w:p w:rsidR="00FE0E5F" w:rsidRPr="00FE0E5F" w:rsidRDefault="00FE0E5F" w:rsidP="00FE0E5F">
      <w:pPr>
        <w:pStyle w:val="ListParagraph"/>
        <w:numPr>
          <w:ilvl w:val="1"/>
          <w:numId w:val="1"/>
        </w:numPr>
        <w:rPr>
          <w:sz w:val="28"/>
          <w:szCs w:val="28"/>
        </w:rPr>
      </w:pPr>
      <w:r>
        <w:t>Power and Neyman-Pearson Theorem (10.10)</w:t>
      </w:r>
    </w:p>
    <w:p w:rsidR="00FE0E5F" w:rsidRPr="00FE0E5F" w:rsidRDefault="00FE0E5F" w:rsidP="00FE0E5F">
      <w:pPr>
        <w:pStyle w:val="ListParagraph"/>
        <w:numPr>
          <w:ilvl w:val="1"/>
          <w:numId w:val="1"/>
        </w:numPr>
        <w:rPr>
          <w:sz w:val="28"/>
          <w:szCs w:val="28"/>
        </w:rPr>
      </w:pPr>
      <w:r>
        <w:t>Likelihood Ratio Tests (10.11)</w:t>
      </w:r>
    </w:p>
    <w:p w:rsidR="00FE0E5F" w:rsidRDefault="008A093A" w:rsidP="00FE0E5F">
      <w:pPr>
        <w:pStyle w:val="ListParagraph"/>
        <w:numPr>
          <w:ilvl w:val="0"/>
          <w:numId w:val="1"/>
        </w:numPr>
        <w:rPr>
          <w:sz w:val="28"/>
          <w:szCs w:val="28"/>
        </w:rPr>
      </w:pPr>
      <w:r>
        <w:rPr>
          <w:sz w:val="28"/>
          <w:szCs w:val="28"/>
        </w:rPr>
        <w:t>Linear Models and Least Squares (Chapter 11)</w:t>
      </w:r>
    </w:p>
    <w:p w:rsidR="008A093A" w:rsidRPr="008A093A" w:rsidRDefault="008A093A" w:rsidP="008A093A">
      <w:pPr>
        <w:pStyle w:val="ListParagraph"/>
        <w:numPr>
          <w:ilvl w:val="1"/>
          <w:numId w:val="1"/>
        </w:numPr>
        <w:rPr>
          <w:sz w:val="28"/>
          <w:szCs w:val="28"/>
        </w:rPr>
      </w:pPr>
      <w:r>
        <w:t>Linear Models (11.2)</w:t>
      </w:r>
    </w:p>
    <w:p w:rsidR="008A093A" w:rsidRPr="008A093A" w:rsidRDefault="008A093A" w:rsidP="008A093A">
      <w:pPr>
        <w:pStyle w:val="ListParagraph"/>
        <w:numPr>
          <w:ilvl w:val="1"/>
          <w:numId w:val="1"/>
        </w:numPr>
        <w:rPr>
          <w:sz w:val="28"/>
          <w:szCs w:val="28"/>
        </w:rPr>
      </w:pPr>
      <w:r>
        <w:t>Method of Least Squares (11.3)</w:t>
      </w:r>
    </w:p>
    <w:p w:rsidR="008A093A" w:rsidRPr="008A093A" w:rsidRDefault="008A093A" w:rsidP="008A093A">
      <w:pPr>
        <w:pStyle w:val="ListParagraph"/>
        <w:numPr>
          <w:ilvl w:val="1"/>
          <w:numId w:val="1"/>
        </w:numPr>
        <w:rPr>
          <w:sz w:val="28"/>
          <w:szCs w:val="28"/>
        </w:rPr>
      </w:pPr>
      <w:r>
        <w:t>Properties of Least-Squares Estimators (11.4)</w:t>
      </w:r>
    </w:p>
    <w:p w:rsidR="008A093A" w:rsidRPr="008A093A" w:rsidRDefault="008A093A" w:rsidP="008A093A">
      <w:pPr>
        <w:pStyle w:val="ListParagraph"/>
        <w:numPr>
          <w:ilvl w:val="1"/>
          <w:numId w:val="1"/>
        </w:numPr>
        <w:rPr>
          <w:sz w:val="28"/>
          <w:szCs w:val="28"/>
        </w:rPr>
      </w:pPr>
      <w:r>
        <w:t>Inferences Regarding Regression Parameters (11.5)</w:t>
      </w:r>
    </w:p>
    <w:p w:rsidR="008A093A" w:rsidRPr="008A093A" w:rsidRDefault="008A093A" w:rsidP="008A093A">
      <w:pPr>
        <w:pStyle w:val="ListParagraph"/>
        <w:numPr>
          <w:ilvl w:val="1"/>
          <w:numId w:val="1"/>
        </w:numPr>
        <w:rPr>
          <w:sz w:val="28"/>
          <w:szCs w:val="28"/>
        </w:rPr>
      </w:pPr>
      <w:r>
        <w:t>Correlation (11.8)</w:t>
      </w:r>
    </w:p>
    <w:p w:rsidR="008A093A" w:rsidRDefault="008A093A" w:rsidP="008A093A">
      <w:pPr>
        <w:pStyle w:val="ListParagraph"/>
        <w:numPr>
          <w:ilvl w:val="0"/>
          <w:numId w:val="1"/>
        </w:numPr>
        <w:rPr>
          <w:sz w:val="28"/>
          <w:szCs w:val="28"/>
        </w:rPr>
      </w:pPr>
      <w:r>
        <w:rPr>
          <w:sz w:val="28"/>
          <w:szCs w:val="28"/>
        </w:rPr>
        <w:t>The Analysis of Variance (Chapter 13)</w:t>
      </w:r>
    </w:p>
    <w:p w:rsidR="008A093A" w:rsidRPr="008A093A" w:rsidRDefault="008A093A" w:rsidP="008A093A">
      <w:pPr>
        <w:pStyle w:val="ListParagraph"/>
        <w:numPr>
          <w:ilvl w:val="1"/>
          <w:numId w:val="1"/>
        </w:numPr>
        <w:rPr>
          <w:sz w:val="28"/>
          <w:szCs w:val="28"/>
        </w:rPr>
      </w:pPr>
      <w:r>
        <w:t>ANOVA Procedure (13.2)</w:t>
      </w:r>
    </w:p>
    <w:p w:rsidR="008A093A" w:rsidRPr="008A093A" w:rsidRDefault="008A093A" w:rsidP="008A093A">
      <w:pPr>
        <w:pStyle w:val="ListParagraph"/>
        <w:numPr>
          <w:ilvl w:val="1"/>
          <w:numId w:val="1"/>
        </w:numPr>
        <w:rPr>
          <w:sz w:val="28"/>
          <w:szCs w:val="28"/>
        </w:rPr>
      </w:pPr>
      <w:r>
        <w:t>1-Way Layout – Comparing More than 2 Means (13.3)</w:t>
      </w:r>
    </w:p>
    <w:p w:rsidR="008A093A" w:rsidRPr="008A093A" w:rsidRDefault="008A093A" w:rsidP="008A093A">
      <w:pPr>
        <w:pStyle w:val="ListParagraph"/>
        <w:numPr>
          <w:ilvl w:val="1"/>
          <w:numId w:val="1"/>
        </w:numPr>
        <w:rPr>
          <w:sz w:val="28"/>
          <w:szCs w:val="28"/>
        </w:rPr>
      </w:pPr>
      <w:r>
        <w:t>ANOVA Table for 1-Way Layout (13.4)</w:t>
      </w:r>
    </w:p>
    <w:p w:rsidR="008A093A" w:rsidRPr="008A093A" w:rsidRDefault="008A093A" w:rsidP="008A093A">
      <w:pPr>
        <w:pStyle w:val="ListParagraph"/>
        <w:numPr>
          <w:ilvl w:val="1"/>
          <w:numId w:val="1"/>
        </w:numPr>
        <w:rPr>
          <w:sz w:val="28"/>
          <w:szCs w:val="28"/>
        </w:rPr>
      </w:pPr>
      <w:r>
        <w:t>Model for the 1-Way Layout  (13.5)</w:t>
      </w:r>
    </w:p>
    <w:p w:rsidR="008A093A" w:rsidRDefault="008A093A" w:rsidP="008A093A">
      <w:pPr>
        <w:rPr>
          <w:sz w:val="28"/>
          <w:szCs w:val="28"/>
        </w:rPr>
      </w:pPr>
    </w:p>
    <w:p w:rsidR="008A093A" w:rsidRDefault="006A5CAE" w:rsidP="008A093A">
      <w:pPr>
        <w:rPr>
          <w:rFonts w:ascii="Rockwell Extra Bold" w:hAnsi="Rockwell Extra Bold"/>
          <w:b/>
          <w:sz w:val="28"/>
          <w:szCs w:val="28"/>
        </w:rPr>
      </w:pPr>
      <w:r>
        <w:rPr>
          <w:rFonts w:ascii="Rockwell Extra Bold" w:hAnsi="Rockwell Extra Bold"/>
          <w:b/>
          <w:sz w:val="28"/>
          <w:szCs w:val="28"/>
        </w:rPr>
        <w:t>Exam Dates and Homework:</w:t>
      </w:r>
    </w:p>
    <w:p w:rsidR="006A5CAE" w:rsidRDefault="006A5CAE" w:rsidP="008A093A">
      <w:pPr>
        <w:rPr>
          <w:rFonts w:ascii="Rockwell Extra Bold" w:hAnsi="Rockwell Extra Bold"/>
          <w:b/>
          <w:sz w:val="28"/>
          <w:szCs w:val="28"/>
        </w:rPr>
      </w:pPr>
    </w:p>
    <w:p w:rsidR="006A5CAE" w:rsidRDefault="006A5CAE" w:rsidP="006A5CAE">
      <w:pPr>
        <w:numPr>
          <w:ilvl w:val="0"/>
          <w:numId w:val="2"/>
        </w:numPr>
        <w:rPr>
          <w:sz w:val="28"/>
          <w:szCs w:val="28"/>
        </w:rPr>
      </w:pPr>
      <w:r>
        <w:rPr>
          <w:sz w:val="28"/>
          <w:szCs w:val="28"/>
        </w:rPr>
        <w:t>Mini-Exam 1 (1-Hour)   - January 26,   12%</w:t>
      </w:r>
    </w:p>
    <w:p w:rsidR="006A5CAE" w:rsidRDefault="006A5CAE" w:rsidP="006A5CAE">
      <w:pPr>
        <w:numPr>
          <w:ilvl w:val="0"/>
          <w:numId w:val="2"/>
        </w:numPr>
        <w:rPr>
          <w:sz w:val="28"/>
          <w:szCs w:val="28"/>
        </w:rPr>
      </w:pPr>
      <w:r>
        <w:rPr>
          <w:sz w:val="28"/>
          <w:szCs w:val="28"/>
        </w:rPr>
        <w:t>Major- Exam 1 (2-Hour)  –  February 11,   2</w:t>
      </w:r>
      <w:r w:rsidR="00AC5C30">
        <w:rPr>
          <w:sz w:val="28"/>
          <w:szCs w:val="28"/>
        </w:rPr>
        <w:t>4</w:t>
      </w:r>
      <w:r>
        <w:rPr>
          <w:sz w:val="28"/>
          <w:szCs w:val="28"/>
        </w:rPr>
        <w:t>%</w:t>
      </w:r>
    </w:p>
    <w:p w:rsidR="006A5CAE" w:rsidRDefault="006A5CAE" w:rsidP="006A5CAE">
      <w:pPr>
        <w:numPr>
          <w:ilvl w:val="0"/>
          <w:numId w:val="2"/>
        </w:numPr>
        <w:rPr>
          <w:sz w:val="28"/>
          <w:szCs w:val="28"/>
        </w:rPr>
      </w:pPr>
      <w:r>
        <w:rPr>
          <w:sz w:val="28"/>
          <w:szCs w:val="28"/>
        </w:rPr>
        <w:t>Mini-Exam 2 (1-Hour) – March 4,  12%</w:t>
      </w:r>
    </w:p>
    <w:p w:rsidR="006A5CAE" w:rsidRDefault="006A5CAE" w:rsidP="006A5CAE">
      <w:pPr>
        <w:numPr>
          <w:ilvl w:val="0"/>
          <w:numId w:val="2"/>
        </w:numPr>
        <w:rPr>
          <w:sz w:val="28"/>
          <w:szCs w:val="28"/>
        </w:rPr>
      </w:pPr>
      <w:r>
        <w:rPr>
          <w:sz w:val="28"/>
          <w:szCs w:val="28"/>
        </w:rPr>
        <w:t>Major-Exam 2  (2-Hour)  - April 1,  2</w:t>
      </w:r>
      <w:r w:rsidR="00AC5C30">
        <w:rPr>
          <w:sz w:val="28"/>
          <w:szCs w:val="28"/>
        </w:rPr>
        <w:t>4</w:t>
      </w:r>
      <w:r>
        <w:rPr>
          <w:sz w:val="28"/>
          <w:szCs w:val="28"/>
        </w:rPr>
        <w:t>%</w:t>
      </w:r>
    </w:p>
    <w:p w:rsidR="006A5CAE" w:rsidRDefault="006A5CAE" w:rsidP="006A5CAE">
      <w:pPr>
        <w:numPr>
          <w:ilvl w:val="0"/>
          <w:numId w:val="2"/>
        </w:numPr>
        <w:rPr>
          <w:sz w:val="28"/>
          <w:szCs w:val="28"/>
        </w:rPr>
      </w:pPr>
      <w:r>
        <w:rPr>
          <w:sz w:val="28"/>
          <w:szCs w:val="28"/>
        </w:rPr>
        <w:t>Mini-Exam 3  (1 Hour) – April 20,  12%</w:t>
      </w:r>
    </w:p>
    <w:p w:rsidR="006A5CAE" w:rsidRDefault="006A5CAE" w:rsidP="006A5CAE">
      <w:pPr>
        <w:numPr>
          <w:ilvl w:val="0"/>
          <w:numId w:val="2"/>
        </w:numPr>
        <w:rPr>
          <w:sz w:val="28"/>
          <w:szCs w:val="28"/>
        </w:rPr>
      </w:pPr>
      <w:r>
        <w:rPr>
          <w:sz w:val="28"/>
          <w:szCs w:val="28"/>
        </w:rPr>
        <w:t xml:space="preserve">Homework </w:t>
      </w:r>
      <w:r w:rsidR="00AC5C30">
        <w:rPr>
          <w:sz w:val="28"/>
          <w:szCs w:val="28"/>
        </w:rPr>
        <w:t>Projects</w:t>
      </w:r>
      <w:r>
        <w:rPr>
          <w:sz w:val="28"/>
          <w:szCs w:val="28"/>
        </w:rPr>
        <w:t xml:space="preserve"> – </w:t>
      </w:r>
      <w:r w:rsidR="00AC5C30">
        <w:rPr>
          <w:sz w:val="28"/>
          <w:szCs w:val="28"/>
        </w:rPr>
        <w:t>4 Computer-Based Simulation projects (4% Each)</w:t>
      </w:r>
    </w:p>
    <w:p w:rsidR="006A5CAE" w:rsidRDefault="006A5CAE" w:rsidP="006A5CAE">
      <w:pPr>
        <w:rPr>
          <w:sz w:val="28"/>
          <w:szCs w:val="28"/>
        </w:rPr>
      </w:pPr>
    </w:p>
    <w:p w:rsidR="006A5CAE" w:rsidRDefault="006A5CAE" w:rsidP="006A5CAE">
      <w:pPr>
        <w:rPr>
          <w:rFonts w:ascii="Rockwell Extra Bold" w:hAnsi="Rockwell Extra Bold"/>
          <w:b/>
          <w:sz w:val="28"/>
          <w:szCs w:val="28"/>
        </w:rPr>
      </w:pPr>
      <w:r>
        <w:rPr>
          <w:rFonts w:ascii="Rockwell Extra Bold" w:hAnsi="Rockwell Extra Bold"/>
          <w:b/>
          <w:sz w:val="28"/>
          <w:szCs w:val="28"/>
        </w:rPr>
        <w:t>Course Policies:</w:t>
      </w:r>
    </w:p>
    <w:p w:rsidR="006A5CAE" w:rsidRDefault="006A5CAE" w:rsidP="006A5CAE">
      <w:pPr>
        <w:rPr>
          <w:rFonts w:ascii="Rockwell Extra Bold" w:hAnsi="Rockwell Extra Bold"/>
          <w:b/>
          <w:sz w:val="28"/>
          <w:szCs w:val="28"/>
        </w:rPr>
      </w:pPr>
    </w:p>
    <w:p w:rsidR="006A5CAE" w:rsidRPr="006A5CAE" w:rsidRDefault="006A5CAE" w:rsidP="006A5CAE">
      <w:pPr>
        <w:numPr>
          <w:ilvl w:val="0"/>
          <w:numId w:val="3"/>
        </w:numPr>
        <w:rPr>
          <w:rFonts w:ascii="Rockwell Extra Bold" w:hAnsi="Rockwell Extra Bold"/>
          <w:b/>
          <w:sz w:val="28"/>
          <w:szCs w:val="28"/>
        </w:rPr>
      </w:pPr>
      <w:r>
        <w:rPr>
          <w:sz w:val="28"/>
          <w:szCs w:val="28"/>
        </w:rPr>
        <w:t>Turn off cell-phones and all electronic devices (except calculators) during class and exams.</w:t>
      </w:r>
    </w:p>
    <w:p w:rsidR="006A5CAE" w:rsidRPr="006A5CAE" w:rsidRDefault="006A5CAE" w:rsidP="006A5CAE">
      <w:pPr>
        <w:numPr>
          <w:ilvl w:val="0"/>
          <w:numId w:val="3"/>
        </w:numPr>
        <w:rPr>
          <w:rFonts w:ascii="Rockwell Extra Bold" w:hAnsi="Rockwell Extra Bold"/>
          <w:b/>
          <w:sz w:val="28"/>
          <w:szCs w:val="28"/>
        </w:rPr>
      </w:pPr>
      <w:r>
        <w:rPr>
          <w:sz w:val="28"/>
          <w:szCs w:val="28"/>
        </w:rPr>
        <w:t>Exams are closed-book/notes. Any relevant tables will be supplied.</w:t>
      </w:r>
    </w:p>
    <w:p w:rsidR="008903EF" w:rsidRPr="008903EF" w:rsidRDefault="006A5CAE" w:rsidP="006A5CAE">
      <w:pPr>
        <w:numPr>
          <w:ilvl w:val="0"/>
          <w:numId w:val="3"/>
        </w:numPr>
        <w:rPr>
          <w:rFonts w:ascii="Rockwell Extra Bold" w:hAnsi="Rockwell Extra Bold"/>
          <w:b/>
          <w:sz w:val="28"/>
          <w:szCs w:val="28"/>
        </w:rPr>
      </w:pPr>
      <w:r>
        <w:rPr>
          <w:sz w:val="28"/>
          <w:szCs w:val="28"/>
        </w:rPr>
        <w:t xml:space="preserve">Practice Problems </w:t>
      </w:r>
      <w:r w:rsidR="00AC5C30">
        <w:rPr>
          <w:sz w:val="28"/>
          <w:szCs w:val="28"/>
        </w:rPr>
        <w:t xml:space="preserve">from the textbook </w:t>
      </w:r>
      <w:r>
        <w:rPr>
          <w:sz w:val="28"/>
          <w:szCs w:val="28"/>
        </w:rPr>
        <w:t xml:space="preserve">will be posted on class web-site. </w:t>
      </w:r>
      <w:r w:rsidR="00AC5C30">
        <w:rPr>
          <w:sz w:val="28"/>
          <w:szCs w:val="28"/>
        </w:rPr>
        <w:t>T</w:t>
      </w:r>
      <w:r>
        <w:rPr>
          <w:sz w:val="28"/>
          <w:szCs w:val="28"/>
        </w:rPr>
        <w:t>hey will</w:t>
      </w:r>
      <w:r w:rsidR="008903EF">
        <w:rPr>
          <w:sz w:val="28"/>
          <w:szCs w:val="28"/>
        </w:rPr>
        <w:t xml:space="preserve"> be good practice for exam problems.</w:t>
      </w:r>
    </w:p>
    <w:p w:rsidR="008903EF" w:rsidRPr="008903EF" w:rsidRDefault="008903EF" w:rsidP="006A5CAE">
      <w:pPr>
        <w:numPr>
          <w:ilvl w:val="0"/>
          <w:numId w:val="3"/>
        </w:numPr>
        <w:rPr>
          <w:rFonts w:ascii="Rockwell Extra Bold" w:hAnsi="Rockwell Extra Bold"/>
          <w:b/>
          <w:sz w:val="28"/>
          <w:szCs w:val="28"/>
        </w:rPr>
      </w:pPr>
      <w:r>
        <w:rPr>
          <w:sz w:val="28"/>
          <w:szCs w:val="28"/>
        </w:rPr>
        <w:t>E-mail is a terribly inefficient way to teach statistics. If you’d like to see a particular problem worked out in class, send a request in advance. Do not expect a typed detailed response.</w:t>
      </w:r>
    </w:p>
    <w:p w:rsidR="006A5CAE" w:rsidRPr="00517A2A" w:rsidRDefault="008903EF" w:rsidP="008903EF">
      <w:pPr>
        <w:numPr>
          <w:ilvl w:val="0"/>
          <w:numId w:val="3"/>
        </w:numPr>
        <w:rPr>
          <w:rFonts w:ascii="Rockwell Extra Bold" w:hAnsi="Rockwell Extra Bold"/>
          <w:b/>
          <w:sz w:val="28"/>
          <w:szCs w:val="28"/>
        </w:rPr>
      </w:pPr>
      <w:r>
        <w:rPr>
          <w:sz w:val="28"/>
          <w:szCs w:val="28"/>
        </w:rPr>
        <w:t>E-mail is not a substitute for attending instructor and TA office hours.</w:t>
      </w:r>
    </w:p>
    <w:p w:rsidR="00517A2A" w:rsidRDefault="00517A2A" w:rsidP="00517A2A">
      <w:pPr>
        <w:rPr>
          <w:sz w:val="28"/>
          <w:szCs w:val="28"/>
        </w:rPr>
      </w:pPr>
    </w:p>
    <w:p w:rsidR="00517A2A" w:rsidRDefault="00517A2A" w:rsidP="00517A2A">
      <w:pPr>
        <w:rPr>
          <w:sz w:val="28"/>
          <w:szCs w:val="28"/>
        </w:rPr>
      </w:pPr>
    </w:p>
    <w:p w:rsidR="00517A2A" w:rsidRDefault="00517A2A" w:rsidP="00517A2A">
      <w:r>
        <w:rPr>
          <w:b/>
          <w:u w:val="single"/>
        </w:rPr>
        <w:lastRenderedPageBreak/>
        <w:t>Course Grade Cut-offs:</w:t>
      </w:r>
      <w:r>
        <w:t xml:space="preserve">   </w:t>
      </w:r>
    </w:p>
    <w:p w:rsidR="00517A2A" w:rsidRDefault="00517A2A" w:rsidP="00517A2A"/>
    <w:bookmarkStart w:id="0" w:name="_MON_1545040111"/>
    <w:bookmarkEnd w:id="0"/>
    <w:p w:rsidR="00517A2A" w:rsidRPr="00052E87" w:rsidRDefault="00517A2A" w:rsidP="00517A2A">
      <w:r>
        <w:object w:dxaOrig="10336"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7.7pt;height:30pt" o:ole="">
            <v:imagedata r:id="rId7" o:title=""/>
          </v:shape>
          <o:OLEObject Type="Embed" ProgID="Excel.Sheet.12" ShapeID="_x0000_i1028" DrawAspect="Content" ObjectID="_1625374752" r:id="rId8"/>
        </w:object>
      </w:r>
    </w:p>
    <w:p w:rsidR="00517A2A" w:rsidRDefault="00517A2A" w:rsidP="00517A2A">
      <w:pPr>
        <w:rPr>
          <w:b/>
          <w:u w:val="single"/>
        </w:rPr>
      </w:pPr>
    </w:p>
    <w:p w:rsidR="00517A2A" w:rsidRPr="00052E87" w:rsidRDefault="00517A2A" w:rsidP="00517A2A">
      <w:pPr>
        <w:pStyle w:val="BodyText"/>
      </w:pPr>
      <w:r>
        <w:rPr>
          <w:b/>
          <w:u w:val="single"/>
        </w:rPr>
        <w:t>Attendance/Exam/Assignment Policies:</w:t>
      </w:r>
      <w:r>
        <w:t xml:space="preserve"> While attendance is not taken, students are expected to attend lectures and participate in class. Make-up exams will only be considered with documented medical event or conference attendance (graduate students). Early exams will be given under no circumstances. Assignments are to be handed in during class on the date the assignment is due in paper format. Electronic submission of assignments will not be accepted. Turn off cell phones during classes.</w:t>
      </w:r>
    </w:p>
    <w:p w:rsidR="00517A2A" w:rsidRDefault="00517A2A" w:rsidP="00517A2A">
      <w:pPr>
        <w:pStyle w:val="BodyText"/>
        <w:rPr>
          <w:b/>
        </w:rPr>
      </w:pPr>
    </w:p>
    <w:p w:rsidR="00517A2A" w:rsidRPr="00517A2A" w:rsidRDefault="00517A2A" w:rsidP="00517A2A">
      <w:pPr>
        <w:spacing w:after="240"/>
      </w:pPr>
      <w:r w:rsidRPr="00DB6BB8">
        <w:rPr>
          <w:b/>
          <w:u w:val="single"/>
        </w:rPr>
        <w:t>Academic Accommodations:</w:t>
      </w:r>
      <w:r w:rsidRPr="00DB6BB8">
        <w:rPr>
          <w:b/>
        </w:rPr>
        <w:t xml:space="preserve"> </w:t>
      </w:r>
      <w:r w:rsidRPr="00DB6BB8">
        <w:t>If you have a documented disability and wish to discuss academic accommodations with me, please contact me as soon as possible.</w:t>
      </w:r>
    </w:p>
    <w:p w:rsidR="00517A2A" w:rsidRDefault="00517A2A" w:rsidP="00517A2A">
      <w:pPr>
        <w:pStyle w:val="BodyText"/>
        <w:rPr>
          <w:b/>
          <w:u w:val="single"/>
        </w:rPr>
      </w:pPr>
    </w:p>
    <w:p w:rsidR="00517A2A" w:rsidRDefault="00517A2A" w:rsidP="00517A2A">
      <w:pPr>
        <w:pStyle w:val="BodyText"/>
        <w:rPr>
          <w:b/>
          <w:u w:val="single"/>
        </w:rPr>
      </w:pPr>
      <w:r>
        <w:rPr>
          <w:b/>
          <w:u w:val="single"/>
        </w:rPr>
        <w:t>University Grading Points:</w:t>
      </w:r>
    </w:p>
    <w:p w:rsidR="00517A2A" w:rsidRDefault="00517A2A" w:rsidP="00517A2A">
      <w:pPr>
        <w:pStyle w:val="BodyText"/>
        <w:rPr>
          <w:b/>
          <w:u w:val="single"/>
        </w:rPr>
      </w:pPr>
    </w:p>
    <w:p w:rsidR="00517A2A" w:rsidRDefault="00517A2A" w:rsidP="00517A2A">
      <w:pPr>
        <w:pStyle w:val="BodyText"/>
      </w:pPr>
      <w:bookmarkStart w:id="1" w:name="_MON_1544877189"/>
      <w:bookmarkEnd w:id="1"/>
      <w:r>
        <w:rPr>
          <w:noProof/>
        </w:rPr>
        <w:drawing>
          <wp:inline distT="0" distB="0" distL="0" distR="0" wp14:anchorId="3291C44B" wp14:editId="1D243ECD">
            <wp:extent cx="65627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2725" cy="381000"/>
                    </a:xfrm>
                    <a:prstGeom prst="rect">
                      <a:avLst/>
                    </a:prstGeom>
                    <a:noFill/>
                    <a:ln>
                      <a:noFill/>
                    </a:ln>
                  </pic:spPr>
                </pic:pic>
              </a:graphicData>
            </a:graphic>
          </wp:inline>
        </w:drawing>
      </w:r>
    </w:p>
    <w:p w:rsidR="00517A2A" w:rsidRDefault="00517A2A" w:rsidP="00517A2A">
      <w:pPr>
        <w:pStyle w:val="BodyText"/>
      </w:pPr>
    </w:p>
    <w:p w:rsidR="00517A2A" w:rsidRDefault="00517A2A" w:rsidP="00517A2A">
      <w:pPr>
        <w:pStyle w:val="BodyText"/>
        <w:rPr>
          <w:b/>
          <w:u w:val="single"/>
        </w:rPr>
      </w:pPr>
    </w:p>
    <w:p w:rsidR="00517A2A" w:rsidRDefault="00517A2A" w:rsidP="00517A2A">
      <w:pPr>
        <w:pStyle w:val="BodyText"/>
      </w:pPr>
      <w:r>
        <w:rPr>
          <w:b/>
          <w:u w:val="single"/>
        </w:rPr>
        <w:t>Online Course Evaluations:</w:t>
      </w:r>
      <w:r>
        <w:t xml:space="preserve"> The University has an online course evaluation system. Late in each semester (after final withdrawal date), students can go to the GATORRATER portal and evaluate courses. The website is located at:    </w:t>
      </w:r>
      <w:hyperlink r:id="rId10" w:history="1">
        <w:r w:rsidRPr="00080B04">
          <w:rPr>
            <w:rStyle w:val="Hyperlink"/>
          </w:rPr>
          <w:t>https://evaluations.ufl.edu/evals/Default.aspx</w:t>
        </w:r>
      </w:hyperlink>
      <w:r>
        <w:t>.</w:t>
      </w:r>
    </w:p>
    <w:p w:rsidR="00517A2A" w:rsidRDefault="00517A2A" w:rsidP="00517A2A">
      <w:pPr>
        <w:pStyle w:val="BodyText"/>
      </w:pPr>
    </w:p>
    <w:p w:rsidR="00517A2A" w:rsidRPr="00F01D40" w:rsidRDefault="00517A2A" w:rsidP="00517A2A">
      <w:pPr>
        <w:pStyle w:val="BodyText"/>
      </w:pPr>
    </w:p>
    <w:p w:rsidR="00517A2A" w:rsidRPr="00F01D40" w:rsidRDefault="00517A2A" w:rsidP="00517A2A">
      <w:pPr>
        <w:spacing w:after="240"/>
        <w:rPr>
          <w:b/>
          <w:u w:val="single"/>
        </w:rPr>
      </w:pPr>
      <w:r w:rsidRPr="00F01D40">
        <w:rPr>
          <w:b/>
          <w:u w:val="single"/>
        </w:rPr>
        <w:t>University Policies:</w:t>
      </w:r>
    </w:p>
    <w:p w:rsidR="00517A2A" w:rsidRDefault="00517A2A" w:rsidP="00517A2A">
      <w:pPr>
        <w:spacing w:after="240"/>
      </w:pPr>
      <w:r w:rsidRPr="00F01D40">
        <w:rPr>
          <w:b/>
        </w:rPr>
        <w:t xml:space="preserve">Academic Dishonesty: </w:t>
      </w:r>
      <w:r w:rsidRPr="00F01D40">
        <w:t xml:space="preserve">All members of the University Community share the responsibility to challenge and make known acts of apparent academic dishonesty. Acts of academic dishonesty will not be tolerated and will be referred to the Student Honor Council. </w:t>
      </w:r>
    </w:p>
    <w:p w:rsidR="00517A2A" w:rsidRDefault="00517A2A" w:rsidP="00517A2A">
      <w:pPr>
        <w:spacing w:after="240"/>
      </w:pPr>
    </w:p>
    <w:p w:rsidR="00517A2A" w:rsidRDefault="00517A2A" w:rsidP="00517A2A">
      <w:pPr>
        <w:autoSpaceDE w:val="0"/>
        <w:autoSpaceDN w:val="0"/>
        <w:adjustRightInd w:val="0"/>
        <w:jc w:val="both"/>
        <w:rPr>
          <w:color w:val="000000"/>
        </w:rPr>
      </w:pPr>
      <w:r w:rsidRPr="00684714">
        <w:rPr>
          <w:b/>
          <w:color w:val="000000"/>
        </w:rPr>
        <w:t>Incomplete:</w:t>
      </w:r>
      <w:r w:rsidRPr="00684714">
        <w:rPr>
          <w:color w:val="000000"/>
        </w:rPr>
        <w:t xml:space="preserve"> An incomplete grade may be assigned at the discretion of the instructor as an</w:t>
      </w:r>
      <w:r>
        <w:rPr>
          <w:color w:val="000000"/>
        </w:rPr>
        <w:t xml:space="preserve"> </w:t>
      </w:r>
      <w:r w:rsidRPr="00684714">
        <w:rPr>
          <w:color w:val="000000"/>
        </w:rPr>
        <w:t>interim grade for a course in which the student has completed a maj</w:t>
      </w:r>
      <w:r>
        <w:rPr>
          <w:color w:val="000000"/>
        </w:rPr>
        <w:t xml:space="preserve">or portion of the course with a </w:t>
      </w:r>
      <w:r w:rsidRPr="00684714">
        <w:rPr>
          <w:color w:val="000000"/>
        </w:rPr>
        <w:t>passing grade, been unable to complete course requirements before</w:t>
      </w:r>
      <w:r>
        <w:rPr>
          <w:color w:val="000000"/>
        </w:rPr>
        <w:t xml:space="preserve"> the end of the term because of </w:t>
      </w:r>
      <w:r w:rsidRPr="00684714">
        <w:rPr>
          <w:color w:val="000000"/>
        </w:rPr>
        <w:t>extenuating circumstances, and obtained agreement from the instruc</w:t>
      </w:r>
      <w:r>
        <w:rPr>
          <w:color w:val="000000"/>
        </w:rPr>
        <w:t xml:space="preserve">tor and arranged for resolution </w:t>
      </w:r>
      <w:r w:rsidRPr="00684714">
        <w:rPr>
          <w:color w:val="000000"/>
        </w:rPr>
        <w:t>of the incomplete grade in the next term. Instructors are not requir</w:t>
      </w:r>
      <w:r>
        <w:rPr>
          <w:color w:val="000000"/>
        </w:rPr>
        <w:t xml:space="preserve">ed to assign incomplete grades. </w:t>
      </w:r>
      <w:r w:rsidRPr="00684714">
        <w:rPr>
          <w:color w:val="000000"/>
        </w:rPr>
        <w:t>For complete details please visit</w:t>
      </w:r>
      <w:r>
        <w:rPr>
          <w:color w:val="000000"/>
        </w:rPr>
        <w:t>:</w:t>
      </w:r>
      <w:r w:rsidRPr="00684714">
        <w:rPr>
          <w:color w:val="000000"/>
        </w:rPr>
        <w:t xml:space="preserve"> </w:t>
      </w:r>
    </w:p>
    <w:p w:rsidR="00517A2A" w:rsidRPr="00684714" w:rsidRDefault="00517A2A" w:rsidP="00517A2A">
      <w:pPr>
        <w:autoSpaceDE w:val="0"/>
        <w:autoSpaceDN w:val="0"/>
        <w:adjustRightInd w:val="0"/>
        <w:jc w:val="both"/>
        <w:rPr>
          <w:color w:val="000000"/>
        </w:rPr>
      </w:pPr>
      <w:r w:rsidRPr="00684714">
        <w:rPr>
          <w:color w:val="0000FF"/>
        </w:rPr>
        <w:t>CLAS incomplete grade policies and forms</w:t>
      </w:r>
      <w:r w:rsidRPr="00684714">
        <w:rPr>
          <w:color w:val="000000"/>
        </w:rPr>
        <w:t>.</w:t>
      </w:r>
    </w:p>
    <w:p w:rsidR="00517A2A" w:rsidRDefault="00517A2A" w:rsidP="00517A2A"/>
    <w:p w:rsidR="00517A2A" w:rsidRDefault="00517A2A" w:rsidP="00517A2A">
      <w:r>
        <w:rPr>
          <w:b/>
          <w:u w:val="single"/>
        </w:rPr>
        <w:t>Campus Resources:</w:t>
      </w:r>
      <w:r>
        <w:t xml:space="preserve">  </w:t>
      </w:r>
    </w:p>
    <w:p w:rsidR="00517A2A" w:rsidRDefault="00517A2A" w:rsidP="00517A2A"/>
    <w:p w:rsidR="00517A2A" w:rsidRDefault="00517A2A" w:rsidP="00517A2A">
      <w:r>
        <w:t xml:space="preserve">Counseling and Wellness Center:      </w:t>
      </w:r>
      <w:hyperlink r:id="rId11" w:history="1">
        <w:r w:rsidRPr="00080B04">
          <w:rPr>
            <w:rStyle w:val="Hyperlink"/>
          </w:rPr>
          <w:t>http://www.counseling.ufl.edu/cwc/</w:t>
        </w:r>
      </w:hyperlink>
    </w:p>
    <w:p w:rsidR="00517A2A" w:rsidRDefault="00517A2A" w:rsidP="00517A2A"/>
    <w:p w:rsidR="00517A2A" w:rsidRDefault="00517A2A" w:rsidP="00517A2A">
      <w:r>
        <w:t xml:space="preserve">Academic Resources:     </w:t>
      </w:r>
      <w:hyperlink r:id="rId12" w:history="1">
        <w:r w:rsidRPr="00080B04">
          <w:rPr>
            <w:rStyle w:val="Hyperlink"/>
          </w:rPr>
          <w:t>http://www.ufl.edu/academics/resources/</w:t>
        </w:r>
      </w:hyperlink>
    </w:p>
    <w:p w:rsidR="00517A2A" w:rsidRDefault="00517A2A" w:rsidP="00517A2A"/>
    <w:p w:rsidR="00517A2A" w:rsidRDefault="00517A2A" w:rsidP="00517A2A">
      <w:r>
        <w:t xml:space="preserve">Disability Resource Center:   </w:t>
      </w:r>
      <w:hyperlink r:id="rId13" w:history="1">
        <w:r w:rsidRPr="00080B04">
          <w:rPr>
            <w:rStyle w:val="Hyperlink"/>
          </w:rPr>
          <w:t>https://www.dso.ufl.edu/drc/</w:t>
        </w:r>
      </w:hyperlink>
    </w:p>
    <w:p w:rsidR="00517A2A" w:rsidRDefault="00517A2A" w:rsidP="00517A2A"/>
    <w:p w:rsidR="00517A2A" w:rsidRDefault="00517A2A" w:rsidP="00517A2A">
      <w:r>
        <w:t xml:space="preserve">Student Health Care Center:    </w:t>
      </w:r>
      <w:hyperlink r:id="rId14" w:history="1">
        <w:r w:rsidRPr="00080B04">
          <w:rPr>
            <w:rStyle w:val="Hyperlink"/>
          </w:rPr>
          <w:t>http://shcc.ufl.edu/</w:t>
        </w:r>
      </w:hyperlink>
    </w:p>
    <w:p w:rsidR="00517A2A" w:rsidRPr="00FD5418" w:rsidRDefault="00517A2A" w:rsidP="00517A2A">
      <w:pPr>
        <w:rPr>
          <w:rFonts w:ascii="Franklin Gothic Medium" w:hAnsi="Franklin Gothic Medium"/>
        </w:rPr>
      </w:pPr>
    </w:p>
    <w:p w:rsidR="00517A2A" w:rsidRPr="008903EF" w:rsidRDefault="00517A2A" w:rsidP="00517A2A">
      <w:pPr>
        <w:rPr>
          <w:rFonts w:ascii="Rockwell Extra Bold" w:hAnsi="Rockwell Extra Bold"/>
          <w:b/>
          <w:sz w:val="28"/>
          <w:szCs w:val="28"/>
        </w:rPr>
      </w:pPr>
      <w:bookmarkStart w:id="2" w:name="_GoBack"/>
      <w:bookmarkEnd w:id="2"/>
    </w:p>
    <w:sectPr w:rsidR="00517A2A" w:rsidRPr="008903EF" w:rsidSect="006141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85298"/>
    <w:multiLevelType w:val="hybridMultilevel"/>
    <w:tmpl w:val="C3F8A64E"/>
    <w:lvl w:ilvl="0" w:tplc="04090001">
      <w:start w:val="1"/>
      <w:numFmt w:val="bullet"/>
      <w:lvlText w:val=""/>
      <w:lvlJc w:val="left"/>
      <w:pPr>
        <w:ind w:left="720" w:hanging="360"/>
      </w:pPr>
      <w:rPr>
        <w:rFonts w:ascii="Symbol" w:hAnsi="Symbol" w:hint="default"/>
      </w:rPr>
    </w:lvl>
    <w:lvl w:ilvl="1" w:tplc="809EA064">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2B3AAA"/>
    <w:multiLevelType w:val="hybridMultilevel"/>
    <w:tmpl w:val="9B6C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6342B"/>
    <w:multiLevelType w:val="hybridMultilevel"/>
    <w:tmpl w:val="1E40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3B"/>
    <w:rsid w:val="00517A2A"/>
    <w:rsid w:val="005F1CA0"/>
    <w:rsid w:val="0061413B"/>
    <w:rsid w:val="006A5CAE"/>
    <w:rsid w:val="006B12B1"/>
    <w:rsid w:val="0086085A"/>
    <w:rsid w:val="008903EF"/>
    <w:rsid w:val="008A093A"/>
    <w:rsid w:val="00AC5C30"/>
    <w:rsid w:val="00D83D6C"/>
    <w:rsid w:val="00FE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7CCE78"/>
  <w15:chartTrackingRefBased/>
  <w15:docId w15:val="{A492D776-D220-47AE-9AB6-01026B00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8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12B1"/>
    <w:rPr>
      <w:color w:val="0000FF"/>
      <w:u w:val="single"/>
    </w:rPr>
  </w:style>
  <w:style w:type="paragraph" w:styleId="ListParagraph">
    <w:name w:val="List Paragraph"/>
    <w:basedOn w:val="Normal"/>
    <w:uiPriority w:val="34"/>
    <w:qFormat/>
    <w:rsid w:val="006B12B1"/>
    <w:pPr>
      <w:ind w:left="720"/>
      <w:contextualSpacing/>
    </w:pPr>
  </w:style>
  <w:style w:type="paragraph" w:styleId="BodyText">
    <w:name w:val="Body Text"/>
    <w:basedOn w:val="Normal"/>
    <w:link w:val="BodyTextChar"/>
    <w:rsid w:val="00517A2A"/>
    <w:rPr>
      <w:szCs w:val="20"/>
    </w:rPr>
  </w:style>
  <w:style w:type="character" w:customStyle="1" w:styleId="BodyTextChar">
    <w:name w:val="Body Text Char"/>
    <w:basedOn w:val="DefaultParagraphFont"/>
    <w:link w:val="BodyText"/>
    <w:rsid w:val="00517A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yperlink" Target="https://www.dso.ufl.edu/drc/"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ufl.edu/academics/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at.ufl.edu/~winner/" TargetMode="External"/><Relationship Id="rId11" Type="http://schemas.openxmlformats.org/officeDocument/2006/relationships/hyperlink" Target="http://www.counseling.ufl.edu/cwc/" TargetMode="External"/><Relationship Id="rId5" Type="http://schemas.openxmlformats.org/officeDocument/2006/relationships/hyperlink" Target="mailto:winner@stat.ufl.edu" TargetMode="External"/><Relationship Id="rId15" Type="http://schemas.openxmlformats.org/officeDocument/2006/relationships/fontTable" Target="fontTable.xml"/><Relationship Id="rId10" Type="http://schemas.openxmlformats.org/officeDocument/2006/relationships/hyperlink" Target="https://evaluations.ufl.edu/evals/Default.aspx"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hcc.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5543</CharactersWithSpaces>
  <SharedDoc>false</SharedDoc>
  <HLinks>
    <vt:vector size="12" baseType="variant">
      <vt:variant>
        <vt:i4>4653138</vt:i4>
      </vt:variant>
      <vt:variant>
        <vt:i4>3</vt:i4>
      </vt:variant>
      <vt:variant>
        <vt:i4>0</vt:i4>
      </vt:variant>
      <vt:variant>
        <vt:i4>5</vt:i4>
      </vt:variant>
      <vt:variant>
        <vt:lpwstr>http://www.stat.ufl.edu/~winner/</vt:lpwstr>
      </vt:variant>
      <vt:variant>
        <vt:lpwstr/>
      </vt:variant>
      <vt:variant>
        <vt:i4>5701679</vt:i4>
      </vt:variant>
      <vt:variant>
        <vt:i4>0</vt:i4>
      </vt:variant>
      <vt:variant>
        <vt:i4>0</vt:i4>
      </vt:variant>
      <vt:variant>
        <vt:i4>5</vt:i4>
      </vt:variant>
      <vt:variant>
        <vt:lpwstr>mailto:winner@stat.ufl.edu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dc:creator>
  <cp:keywords/>
  <dc:description/>
  <cp:lastModifiedBy>Winner,Lawrence Herman</cp:lastModifiedBy>
  <cp:revision>3</cp:revision>
  <dcterms:created xsi:type="dcterms:W3CDTF">2019-07-23T12:11:00Z</dcterms:created>
  <dcterms:modified xsi:type="dcterms:W3CDTF">2019-07-23T12:13:00Z</dcterms:modified>
</cp:coreProperties>
</file>